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7B062" w14:textId="534F877B" w:rsidR="00BF0963" w:rsidRDefault="009D0BA2" w:rsidP="00D956B0">
      <w:pPr>
        <w:pStyle w:val="Heading1"/>
      </w:pPr>
      <w:bookmarkStart w:id="0" w:name="_Toc179384611"/>
      <w:r>
        <w:t xml:space="preserve">SPECIFICATIONS - </w:t>
      </w:r>
      <w:r w:rsidR="00BF0963" w:rsidRPr="00F50EDF">
        <w:t xml:space="preserve">PROJECT TITLE: </w:t>
      </w:r>
      <w:bookmarkStart w:id="1" w:name="_Hlk78220024"/>
      <w:bookmarkEnd w:id="0"/>
      <w:r w:rsidR="00922759" w:rsidRPr="00922759">
        <w:rPr>
          <w:bCs/>
          <w:lang w:val="en-US"/>
        </w:rPr>
        <w:t>ANALYSIS OF THE RESPONSIVENESS AND RELEVANCE OF TVET TO OCCUPATIONAL QUALIFICATIONS TO INDUSTRY NEEDS</w:t>
      </w:r>
    </w:p>
    <w:p w14:paraId="51D8E1CF" w14:textId="77777777" w:rsidR="00CC2333" w:rsidRPr="00217A70" w:rsidRDefault="00CC2333" w:rsidP="00CC2333">
      <w:pPr>
        <w:rPr>
          <w:sz w:val="10"/>
          <w:szCs w:val="12"/>
          <w:lang w:val="en-ZA"/>
        </w:rPr>
      </w:pPr>
    </w:p>
    <w:p w14:paraId="2CF084F8" w14:textId="504F7D8B" w:rsidR="00BF0963" w:rsidRPr="008C6AE5" w:rsidRDefault="00BF0963" w:rsidP="00D956B0">
      <w:pPr>
        <w:pStyle w:val="Heading1"/>
      </w:pPr>
      <w:bookmarkStart w:id="2" w:name="_Toc179384612"/>
      <w:r w:rsidRPr="008C6AE5">
        <w:t>BACKGROUND AND CONTEXT</w:t>
      </w:r>
      <w:bookmarkEnd w:id="2"/>
    </w:p>
    <w:p w14:paraId="4A22EF00" w14:textId="77777777" w:rsidR="00DB02B9" w:rsidRPr="00DB02B9" w:rsidRDefault="00DB02B9" w:rsidP="00DB0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rPr>
          <w:rFonts w:eastAsia="Calibri" w:cs="Arial"/>
          <w:color w:val="000000"/>
          <w:szCs w:val="22"/>
          <w:bdr w:val="none" w:sz="0" w:space="0" w:color="auto"/>
          <w:lang w:val="en-ZA"/>
        </w:rPr>
      </w:pPr>
      <w:bookmarkStart w:id="3" w:name="_Toc179384613"/>
      <w:bookmarkStart w:id="4" w:name="_Hlk78220031"/>
      <w:bookmarkStart w:id="5" w:name="_Hlk78220093"/>
      <w:bookmarkEnd w:id="1"/>
      <w:r w:rsidRPr="00DB02B9">
        <w:rPr>
          <w:rFonts w:eastAsia="Calibri" w:cs="Arial"/>
          <w:color w:val="000000"/>
          <w:szCs w:val="22"/>
          <w:bdr w:val="none" w:sz="0" w:space="0" w:color="auto"/>
          <w:lang w:val="en-ZA"/>
        </w:rPr>
        <w:t xml:space="preserve">The National Skills Development Plan 2030 </w:t>
      </w:r>
      <w:r w:rsidRPr="00DB02B9">
        <w:rPr>
          <w:rFonts w:eastAsia="Calibri" w:cs="Arial"/>
          <w:szCs w:val="22"/>
          <w:bdr w:val="none" w:sz="0" w:space="0" w:color="auto"/>
          <w:lang w:val="en-ZA"/>
        </w:rPr>
        <w:t xml:space="preserve">is a comprehensive framework aimed at guiding skills development initiatives in South Africa. </w:t>
      </w:r>
      <w:r w:rsidRPr="00DB02B9">
        <w:rPr>
          <w:rFonts w:eastAsia="Calibri" w:cs="Arial"/>
          <w:color w:val="000000"/>
          <w:szCs w:val="22"/>
          <w:bdr w:val="none" w:sz="0" w:space="0" w:color="auto"/>
          <w:lang w:val="en-ZA"/>
        </w:rPr>
        <w:t xml:space="preserve">One of its Outcomes is about </w:t>
      </w:r>
      <w:r w:rsidRPr="00DB02B9">
        <w:rPr>
          <w:rFonts w:eastAsia="Calibri" w:cs="Arial"/>
          <w:i/>
          <w:iCs/>
          <w:color w:val="000000"/>
          <w:szCs w:val="22"/>
          <w:bdr w:val="none" w:sz="0" w:space="0" w:color="auto"/>
          <w:lang w:val="en-ZA"/>
        </w:rPr>
        <w:t>“[promoting] a stronger and more cooperative relationship between education and training institutions and the workplace</w:t>
      </w:r>
      <w:r w:rsidRPr="00DB02B9">
        <w:rPr>
          <w:rFonts w:eastAsia="Calibri" w:cs="Arial"/>
          <w:color w:val="000000"/>
          <w:szCs w:val="22"/>
          <w:bdr w:val="none" w:sz="0" w:space="0" w:color="auto"/>
          <w:lang w:val="en-ZA"/>
        </w:rPr>
        <w:t>” This encourages SETAs to seek cooperative partnerships with public universities and TVET colleges and facilitate their partnerships with industry</w:t>
      </w:r>
      <w:sdt>
        <w:sdtPr>
          <w:rPr>
            <w:rFonts w:eastAsia="Calibri" w:cs="Arial"/>
            <w:color w:val="000000"/>
            <w:szCs w:val="22"/>
            <w:bdr w:val="none" w:sz="0" w:space="0" w:color="auto"/>
            <w:lang w:val="en-ZA"/>
          </w:rPr>
          <w:id w:val="-369994846"/>
          <w:citation/>
        </w:sdtPr>
        <w:sdtEndPr/>
        <w:sdtContent>
          <w:r w:rsidRPr="00DB02B9">
            <w:rPr>
              <w:rFonts w:eastAsia="Calibri" w:cs="Arial"/>
              <w:color w:val="000000"/>
              <w:szCs w:val="22"/>
              <w:bdr w:val="none" w:sz="0" w:space="0" w:color="auto"/>
              <w:lang w:val="en-ZA"/>
            </w:rPr>
            <w:fldChar w:fldCharType="begin"/>
          </w:r>
          <w:r w:rsidRPr="00DB02B9">
            <w:rPr>
              <w:rFonts w:eastAsia="Calibri" w:cs="Arial"/>
              <w:color w:val="000000"/>
              <w:szCs w:val="22"/>
              <w:bdr w:val="none" w:sz="0" w:space="0" w:color="auto"/>
              <w:lang w:val="en-ZA"/>
            </w:rPr>
            <w:instrText xml:space="preserve">CITATION DHE17 \l 1033 </w:instrText>
          </w:r>
          <w:r w:rsidRPr="00DB02B9">
            <w:rPr>
              <w:rFonts w:eastAsia="Calibri" w:cs="Arial"/>
              <w:color w:val="000000"/>
              <w:szCs w:val="22"/>
              <w:bdr w:val="none" w:sz="0" w:space="0" w:color="auto"/>
              <w:lang w:val="en-ZA"/>
            </w:rPr>
            <w:fldChar w:fldCharType="separate"/>
          </w:r>
          <w:r w:rsidRPr="00DB02B9">
            <w:rPr>
              <w:rFonts w:eastAsia="Calibri" w:cs="Arial"/>
              <w:noProof/>
              <w:color w:val="000000"/>
              <w:szCs w:val="22"/>
              <w:bdr w:val="none" w:sz="0" w:space="0" w:color="auto"/>
              <w:lang w:val="en-ZA"/>
            </w:rPr>
            <w:t xml:space="preserve"> (DHET, 2017)</w:t>
          </w:r>
          <w:r w:rsidRPr="00DB02B9">
            <w:rPr>
              <w:rFonts w:eastAsia="Calibri" w:cs="Arial"/>
              <w:color w:val="000000"/>
              <w:szCs w:val="22"/>
              <w:bdr w:val="none" w:sz="0" w:space="0" w:color="auto"/>
              <w:lang w:val="en-ZA"/>
            </w:rPr>
            <w:fldChar w:fldCharType="end"/>
          </w:r>
        </w:sdtContent>
      </w:sdt>
      <w:r w:rsidRPr="00DB02B9">
        <w:rPr>
          <w:rFonts w:eastAsia="Calibri" w:cs="Arial"/>
          <w:color w:val="000000"/>
          <w:szCs w:val="22"/>
          <w:bdr w:val="none" w:sz="0" w:space="0" w:color="auto"/>
          <w:lang w:val="en-ZA"/>
        </w:rPr>
        <w:t xml:space="preserve">. The Services SETA responds to the NSDP 2030 outcomes through this research study. </w:t>
      </w:r>
    </w:p>
    <w:p w14:paraId="39379F6D" w14:textId="77777777" w:rsidR="00DB02B9" w:rsidRPr="00DB02B9" w:rsidRDefault="00DB02B9" w:rsidP="00DB0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0"/>
        <w:rPr>
          <w:rFonts w:eastAsia="Calibri" w:cs="Arial"/>
          <w:color w:val="000000"/>
          <w:szCs w:val="22"/>
          <w:bdr w:val="none" w:sz="0" w:space="0" w:color="auto"/>
          <w:lang w:val="en-ZA"/>
        </w:rPr>
      </w:pPr>
      <w:r w:rsidRPr="00DB02B9">
        <w:rPr>
          <w:rFonts w:eastAsia="Calibri" w:cs="Arial"/>
          <w:color w:val="000000"/>
          <w:szCs w:val="22"/>
          <w:bdr w:val="none" w:sz="0" w:space="0" w:color="auto"/>
          <w:lang w:val="en-ZA"/>
        </w:rPr>
        <w:t xml:space="preserve">As part of its mandate, the Services SETA must deliver Skills Development through learning interventions to the services sector or industries that are allocated to it as part of its scope. Part of delivering on this part of the mandate includes ensuring the availability of training providers (skills development providers) in public and private spaces. </w:t>
      </w:r>
    </w:p>
    <w:p w14:paraId="25EBFCEE" w14:textId="77777777" w:rsidR="00DB02B9" w:rsidRPr="00DB02B9" w:rsidRDefault="00DB02B9" w:rsidP="00DB0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0"/>
        <w:rPr>
          <w:rFonts w:eastAsia="Calibri" w:cs="Arial"/>
          <w:color w:val="000000"/>
          <w:szCs w:val="22"/>
          <w:bdr w:val="none" w:sz="0" w:space="0" w:color="auto"/>
          <w:lang w:val="en-ZA"/>
        </w:rPr>
      </w:pPr>
      <w:r w:rsidRPr="00DB02B9">
        <w:rPr>
          <w:rFonts w:eastAsia="Calibri" w:cs="Arial"/>
          <w:color w:val="000000"/>
          <w:szCs w:val="22"/>
          <w:bdr w:val="none" w:sz="0" w:space="0" w:color="auto"/>
          <w:lang w:val="en-ZA"/>
        </w:rPr>
        <w:t xml:space="preserve">In the last few years, SETA’s have worked more with private providers, mainly because the private sector saw the opportunity for business in skills development and needed less or no support in establishing themselves as providers. There is increasing call for SETAs to help build capacity within public TVET colleges to cater for the broader society including learners from poor backgrounds on account of their accessibility in terms of location and low tuition costs compared to private training providers. </w:t>
      </w:r>
    </w:p>
    <w:p w14:paraId="6952F240" w14:textId="77777777" w:rsidR="00DB02B9" w:rsidRPr="00DB02B9" w:rsidRDefault="00DB02B9" w:rsidP="00DB0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0"/>
        <w:rPr>
          <w:rFonts w:eastAsia="Calibri" w:cs="Arial"/>
          <w:color w:val="000000"/>
          <w:szCs w:val="22"/>
          <w:bdr w:val="none" w:sz="0" w:space="0" w:color="auto"/>
          <w:lang w:val="en-ZA"/>
        </w:rPr>
      </w:pPr>
      <w:r w:rsidRPr="00DB02B9">
        <w:rPr>
          <w:rFonts w:eastAsia="Calibri" w:cs="Arial"/>
          <w:color w:val="000000"/>
          <w:szCs w:val="22"/>
          <w:bdr w:val="none" w:sz="0" w:space="0" w:color="auto"/>
          <w:lang w:val="en-ZA"/>
        </w:rPr>
        <w:t xml:space="preserve">In line with this mandate, the Strategy &amp; Insights Department is reaching out to public TVET Colleges to build their capacity as a delivery vehicle in implementing occupational qualifications in general and SETA developed and registered occupational qualifications. TVET colleges are considered the most relevant institutions in implementing the SETA programmes, because of their focus on vocational or occupational qualifications. </w:t>
      </w:r>
    </w:p>
    <w:p w14:paraId="2E247F81" w14:textId="77777777" w:rsidR="00DB02B9" w:rsidRDefault="00DB02B9" w:rsidP="00DB0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0"/>
        <w:rPr>
          <w:rFonts w:eastAsia="Calibri" w:cs="Arial"/>
          <w:szCs w:val="22"/>
          <w:bdr w:val="none" w:sz="0" w:space="0" w:color="auto"/>
          <w:lang w:val="en-ZA"/>
        </w:rPr>
      </w:pPr>
      <w:r w:rsidRPr="00DB02B9">
        <w:rPr>
          <w:rFonts w:eastAsia="Calibri" w:cs="Arial"/>
          <w:color w:val="000000"/>
          <w:szCs w:val="22"/>
          <w:bdr w:val="none" w:sz="0" w:space="0" w:color="auto"/>
          <w:lang w:val="en-ZA"/>
        </w:rPr>
        <w:t>There are 52 registered public TVET Colleges in the country, which are mostly equipped with the necessities for implementing learning programmes as they operate and produce graduates yearly. However, TVET colleges have thus far not participated in the implementation of SETA occupational qualifications. Thus, detailed work must be undertaken to understand the TVET colleges’ capacity of supply fully. Such studies should look what resources they require? How best to capacitate and prepare them for fully implementing the Services SETA programmes? Furthermore, the c</w:t>
      </w:r>
      <w:r w:rsidRPr="00DB02B9">
        <w:rPr>
          <w:rFonts w:eastAsia="Calibri" w:cs="Arial"/>
          <w:szCs w:val="22"/>
          <w:bdr w:val="none" w:sz="0" w:space="0" w:color="auto"/>
          <w:lang w:val="en-ZA"/>
        </w:rPr>
        <w:t xml:space="preserve">ollaboration between TVET colleges and SETAs is critical for enhancing the employability of graduates. Therefore, services SETA aims to incorporate TVET colleges as critical participants and beneficiaries in implementing SETA learning programmes.  </w:t>
      </w:r>
    </w:p>
    <w:p w14:paraId="32257D1A" w14:textId="0B2C0A60" w:rsidR="00324BB1" w:rsidRPr="008C6AE5" w:rsidRDefault="00E56519" w:rsidP="00D956B0">
      <w:pPr>
        <w:pStyle w:val="Heading1"/>
      </w:pPr>
      <w:r w:rsidRPr="008C6AE5">
        <w:lastRenderedPageBreak/>
        <w:t>THE RATIONALE FOR THE STUDY</w:t>
      </w:r>
      <w:bookmarkEnd w:id="3"/>
    </w:p>
    <w:p w14:paraId="57394599" w14:textId="667C3CAF" w:rsidR="00C95DB8" w:rsidRPr="00C95DB8" w:rsidRDefault="00C95DB8" w:rsidP="00C95DB8">
      <w:p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eastAsia="Calibri"/>
          <w:szCs w:val="22"/>
          <w:bdr w:val="none" w:sz="0" w:space="0" w:color="auto"/>
          <w:lang w:val="en-ZA"/>
        </w:rPr>
      </w:pPr>
      <w:bookmarkStart w:id="6" w:name="_Toc179384614"/>
      <w:r w:rsidRPr="00C95DB8">
        <w:rPr>
          <w:rFonts w:eastAsia="Calibri"/>
          <w:szCs w:val="22"/>
          <w:bdr w:val="none" w:sz="0" w:space="0" w:color="auto"/>
          <w:lang w:val="en-ZA"/>
        </w:rPr>
        <w:t xml:space="preserve">The transition from legacy to occupational qualifications is a process of aligning the skills and competencies of the workforce with the current and future needs of the economy and society. This transition requires a shift from the traditional academic and theoretical approach to education and training, to a more practical and applied one that is responsive to the demands of the labour market and the changing world of work. One of the key stakeholders in this transition </w:t>
      </w:r>
      <w:r w:rsidR="00255FFE">
        <w:rPr>
          <w:rFonts w:eastAsia="Calibri"/>
          <w:szCs w:val="22"/>
          <w:bdr w:val="none" w:sz="0" w:space="0" w:color="auto"/>
          <w:lang w:val="en-ZA"/>
        </w:rPr>
        <w:t>include</w:t>
      </w:r>
      <w:r w:rsidRPr="00C95DB8">
        <w:rPr>
          <w:rFonts w:eastAsia="Calibri"/>
          <w:szCs w:val="22"/>
          <w:bdr w:val="none" w:sz="0" w:space="0" w:color="auto"/>
          <w:lang w:val="en-ZA"/>
        </w:rPr>
        <w:t xml:space="preserve"> the TVET colleges, which provide a range of programmes and qualifications that prepare learners for various occupations and careers.</w:t>
      </w:r>
    </w:p>
    <w:p w14:paraId="4B2FDFD7" w14:textId="77777777" w:rsidR="00C95DB8" w:rsidRPr="00C95DB8" w:rsidRDefault="00C95DB8" w:rsidP="00C95DB8">
      <w:p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eastAsia="Calibri"/>
          <w:szCs w:val="22"/>
          <w:bdr w:val="none" w:sz="0" w:space="0" w:color="auto"/>
          <w:lang w:val="en-ZA"/>
        </w:rPr>
      </w:pPr>
      <w:r w:rsidRPr="00C95DB8">
        <w:rPr>
          <w:rFonts w:eastAsia="Calibri"/>
          <w:szCs w:val="22"/>
          <w:bdr w:val="none" w:sz="0" w:space="0" w:color="auto"/>
          <w:lang w:val="en-ZA"/>
        </w:rPr>
        <w:t>However, the transition also poses significant challenges and opportunities for the TVET colleges, as they need to adapt their curricula, assessment methods, facilities, staff, and partnerships to the new occupational qualifications’ framework. Therefore, it is essential to assess the readiness of the TVET colleges to implement the transition, and to identify their strengths, weaknesses, gaps, and needs for support and development.</w:t>
      </w:r>
    </w:p>
    <w:p w14:paraId="14A334B4" w14:textId="6858B20C" w:rsidR="00A27641" w:rsidRDefault="00C95DB8" w:rsidP="00CE26DE">
      <w:pPr>
        <w:rPr>
          <w:b/>
        </w:rPr>
      </w:pPr>
      <w:r w:rsidRPr="00C95DB8">
        <w:t xml:space="preserve">This </w:t>
      </w:r>
      <w:r w:rsidR="00A27641">
        <w:t xml:space="preserve">research </w:t>
      </w:r>
      <w:r w:rsidRPr="00C95DB8">
        <w:t xml:space="preserve">project that the Services SETA will undertake in partnership with TVET colleges </w:t>
      </w:r>
      <w:r w:rsidR="00255FFE" w:rsidRPr="00C95DB8">
        <w:t>will</w:t>
      </w:r>
      <w:r w:rsidR="00E1352E">
        <w:t xml:space="preserve"> </w:t>
      </w:r>
      <w:r w:rsidRPr="00C95DB8">
        <w:t xml:space="preserve">assess the responsiveness and relevance of colleges to implement SETA’s occupational qualifications. </w:t>
      </w:r>
    </w:p>
    <w:p w14:paraId="7908C3E5" w14:textId="77777777" w:rsidR="00CE26DE" w:rsidRPr="00217A70" w:rsidRDefault="00CE26DE" w:rsidP="00CE26DE">
      <w:pPr>
        <w:rPr>
          <w:sz w:val="10"/>
          <w:szCs w:val="12"/>
          <w:lang w:val="en-ZA"/>
        </w:rPr>
      </w:pPr>
    </w:p>
    <w:p w14:paraId="3A4FC204" w14:textId="7487B121" w:rsidR="008C6AE5" w:rsidRPr="00F23DB7" w:rsidRDefault="008C6AE5" w:rsidP="00C95DB8">
      <w:pPr>
        <w:pStyle w:val="Heading1"/>
      </w:pPr>
      <w:r>
        <w:t xml:space="preserve">THE </w:t>
      </w:r>
      <w:r w:rsidRPr="00F23DB7">
        <w:t xml:space="preserve">PURPOSE </w:t>
      </w:r>
      <w:r>
        <w:t>OF THE RESEARCH STUDY</w:t>
      </w:r>
      <w:bookmarkEnd w:id="6"/>
    </w:p>
    <w:p w14:paraId="1934940F" w14:textId="12E34475" w:rsidR="00FA1687" w:rsidRDefault="00FA1687" w:rsidP="00CE26DE">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Calibri"/>
          <w:szCs w:val="22"/>
          <w:bdr w:val="none" w:sz="0" w:space="0" w:color="auto"/>
          <w:lang w:val="en-ZA"/>
        </w:rPr>
      </w:pPr>
      <w:bookmarkStart w:id="7" w:name="_Toc179384615"/>
      <w:r w:rsidRPr="00FA1687">
        <w:rPr>
          <w:rFonts w:eastAsia="Calibri"/>
          <w:szCs w:val="22"/>
          <w:bdr w:val="none" w:sz="0" w:space="0" w:color="auto"/>
          <w:lang w:val="en-ZA"/>
        </w:rPr>
        <w:t>Through this study, the Services SETA will assess the re</w:t>
      </w:r>
      <w:r w:rsidR="000D36CB">
        <w:rPr>
          <w:rFonts w:eastAsia="Calibri"/>
          <w:szCs w:val="22"/>
          <w:bdr w:val="none" w:sz="0" w:space="0" w:color="auto"/>
          <w:lang w:val="en-ZA"/>
        </w:rPr>
        <w:t>adiness</w:t>
      </w:r>
      <w:r w:rsidRPr="00FA1687">
        <w:rPr>
          <w:rFonts w:eastAsia="Calibri"/>
          <w:szCs w:val="22"/>
          <w:bdr w:val="none" w:sz="0" w:space="0" w:color="auto"/>
          <w:lang w:val="en-ZA"/>
        </w:rPr>
        <w:t xml:space="preserve"> and identify areas that need strengthening/improvement for TVET colleges to implement SETA occupational qualifications. The study will inform SETAs of the capacity needed by colleges. The study will also familiarise colleges with SETA processes and requirements, create sufficient supply capacity in the TVET space, and strengthen collaboration between SETAs and colleges as envisaged in the </w:t>
      </w:r>
      <w:bookmarkStart w:id="8" w:name="_Hlk176450205"/>
      <w:r w:rsidRPr="00FA1687">
        <w:rPr>
          <w:rFonts w:eastAsia="Calibri"/>
          <w:szCs w:val="22"/>
          <w:bdr w:val="none" w:sz="0" w:space="0" w:color="auto"/>
          <w:lang w:val="en-ZA"/>
        </w:rPr>
        <w:t xml:space="preserve">White Paper for Post School Education and Training (WPPSET) </w:t>
      </w:r>
      <w:bookmarkEnd w:id="8"/>
      <w:r w:rsidRPr="00FA1687">
        <w:rPr>
          <w:rFonts w:eastAsia="Calibri"/>
          <w:szCs w:val="22"/>
          <w:bdr w:val="none" w:sz="0" w:space="0" w:color="auto"/>
          <w:lang w:val="en-ZA"/>
        </w:rPr>
        <w:t xml:space="preserve">and NSDP 2030. </w:t>
      </w:r>
    </w:p>
    <w:p w14:paraId="57A7EBFC" w14:textId="77777777" w:rsidR="00CE26DE" w:rsidRPr="00217A70" w:rsidRDefault="00CE26DE" w:rsidP="00FA1687">
      <w:p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eastAsia="Calibri"/>
          <w:sz w:val="14"/>
          <w:szCs w:val="14"/>
          <w:bdr w:val="none" w:sz="0" w:space="0" w:color="auto"/>
          <w:lang w:val="en-ZA"/>
        </w:rPr>
      </w:pPr>
    </w:p>
    <w:p w14:paraId="72EC1DBF" w14:textId="7E077804" w:rsidR="008C6AE5" w:rsidRPr="005351A2" w:rsidRDefault="008C6AE5" w:rsidP="005351A2">
      <w:pPr>
        <w:pStyle w:val="Heading1"/>
      </w:pPr>
      <w:r w:rsidRPr="00F23DB7">
        <w:t>OBJECTIVES</w:t>
      </w:r>
      <w:bookmarkEnd w:id="7"/>
    </w:p>
    <w:p w14:paraId="1AB5CFD8" w14:textId="77777777" w:rsidR="00637456" w:rsidRDefault="00637456" w:rsidP="00637456">
      <w:p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eastAsia="Calibri" w:cs="Arial"/>
          <w:szCs w:val="22"/>
          <w:bdr w:val="none" w:sz="0" w:space="0" w:color="auto"/>
          <w:lang w:val="en-ZA"/>
        </w:rPr>
      </w:pPr>
      <w:bookmarkStart w:id="9" w:name="_Toc179384616"/>
      <w:r w:rsidRPr="00637456">
        <w:rPr>
          <w:rFonts w:eastAsia="Calibri" w:cs="Arial"/>
          <w:szCs w:val="22"/>
          <w:bdr w:val="none" w:sz="0" w:space="0" w:color="auto"/>
          <w:lang w:val="en-ZA"/>
        </w:rPr>
        <w:t>The objective of this study is to understand the capacity of TVET colleges to implement services sector occupational qualifications and explore underlying reasons for the mismatch between skills supply and demand.</w:t>
      </w:r>
    </w:p>
    <w:p w14:paraId="04DFF0E4" w14:textId="77777777" w:rsidR="00D869BD" w:rsidRPr="00217A70" w:rsidRDefault="00D869BD" w:rsidP="00637456">
      <w:p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eastAsia="Calibri" w:cs="Arial"/>
          <w:sz w:val="12"/>
          <w:szCs w:val="12"/>
          <w:bdr w:val="none" w:sz="0" w:space="0" w:color="auto"/>
          <w:lang w:val="en-ZA"/>
        </w:rPr>
      </w:pPr>
    </w:p>
    <w:p w14:paraId="61C86247" w14:textId="77777777" w:rsidR="008C6AE5" w:rsidRPr="00F23DB7" w:rsidRDefault="008C6AE5" w:rsidP="00D956B0">
      <w:pPr>
        <w:pStyle w:val="Heading1"/>
      </w:pPr>
      <w:r w:rsidRPr="00F23DB7">
        <w:t>SPECIFIC RESEARCH QUESTIONS</w:t>
      </w:r>
      <w:bookmarkEnd w:id="9"/>
      <w:r w:rsidRPr="00F23DB7">
        <w:t xml:space="preserve"> </w:t>
      </w:r>
    </w:p>
    <w:p w14:paraId="7840594E" w14:textId="23D3F1BF" w:rsidR="00617903" w:rsidRPr="00CE26DE" w:rsidRDefault="008C6AE5" w:rsidP="00CE26DE">
      <w:pPr>
        <w:rPr>
          <w:rFonts w:cs="Arial"/>
          <w:bCs/>
        </w:rPr>
      </w:pPr>
      <w:r w:rsidRPr="00F23DB7">
        <w:rPr>
          <w:rFonts w:cs="Arial"/>
          <w:bCs/>
        </w:rPr>
        <w:t xml:space="preserve">The </w:t>
      </w:r>
      <w:r w:rsidR="00D869BD" w:rsidRPr="00F23DB7">
        <w:rPr>
          <w:rFonts w:cs="Arial"/>
          <w:bCs/>
        </w:rPr>
        <w:t>research</w:t>
      </w:r>
      <w:r w:rsidRPr="00F23DB7">
        <w:rPr>
          <w:rFonts w:cs="Arial"/>
          <w:bCs/>
        </w:rPr>
        <w:t xml:space="preserve"> seeks to answer the following specific questions</w:t>
      </w:r>
      <w:bookmarkStart w:id="10" w:name="_Toc179384617"/>
      <w:r w:rsidR="008B78CD">
        <w:rPr>
          <w:rFonts w:cs="Arial"/>
          <w:bCs/>
        </w:rPr>
        <w:t xml:space="preserve">. </w:t>
      </w:r>
      <w:r w:rsidR="00617903" w:rsidRPr="00617903">
        <w:rPr>
          <w:rFonts w:cs="Arial"/>
        </w:rPr>
        <w:t>The research study seeks to answer the following specific questions:</w:t>
      </w:r>
    </w:p>
    <w:p w14:paraId="57AEF042" w14:textId="02A33CB9" w:rsidR="00617903" w:rsidRPr="00CE26DE" w:rsidRDefault="00617903" w:rsidP="00CE26D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617903">
        <w:rPr>
          <w:rFonts w:cs="Arial"/>
        </w:rPr>
        <w:t>Are TVET colleges ready to implement SETA occupational qualifications?</w:t>
      </w:r>
    </w:p>
    <w:p w14:paraId="6D43F59B" w14:textId="55CF2ADF" w:rsidR="00617903" w:rsidRPr="00CE26DE" w:rsidRDefault="00617903" w:rsidP="00CE26D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617903">
        <w:rPr>
          <w:rFonts w:cs="Arial"/>
        </w:rPr>
        <w:t>What capacity is required?</w:t>
      </w:r>
    </w:p>
    <w:p w14:paraId="63322F25" w14:textId="52FB3255" w:rsidR="00617903" w:rsidRPr="00CE26DE" w:rsidRDefault="00617903" w:rsidP="00CE26DE">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617903">
        <w:rPr>
          <w:rFonts w:cs="Arial"/>
        </w:rPr>
        <w:t>What contributes to the low employment rates among TVET college graduates?</w:t>
      </w:r>
    </w:p>
    <w:p w14:paraId="29A3462A" w14:textId="77777777" w:rsidR="00D869BD" w:rsidRDefault="00D869BD" w:rsidP="00D956B0">
      <w:pPr>
        <w:pStyle w:val="Heading1"/>
      </w:pPr>
    </w:p>
    <w:p w14:paraId="70730E3D" w14:textId="1E2918A5" w:rsidR="008C6AE5" w:rsidRPr="00F23DB7" w:rsidRDefault="00571A1D" w:rsidP="00D956B0">
      <w:pPr>
        <w:pStyle w:val="Heading1"/>
      </w:pPr>
      <w:r w:rsidRPr="00F23DB7">
        <w:t>SCOPE OF WORK</w:t>
      </w:r>
      <w:r>
        <w:t xml:space="preserve"> AND DELIVERABLES</w:t>
      </w:r>
      <w:bookmarkEnd w:id="10"/>
      <w:r>
        <w:t xml:space="preserve"> </w:t>
      </w:r>
    </w:p>
    <w:p w14:paraId="6926F3BC" w14:textId="1EEF82AB" w:rsidR="008C6AE5" w:rsidRPr="00F23DB7" w:rsidRDefault="008C6AE5" w:rsidP="008C6AE5">
      <w:pPr>
        <w:rPr>
          <w:rFonts w:cs="Arial"/>
        </w:rPr>
      </w:pPr>
      <w:r w:rsidRPr="00F23DB7">
        <w:rPr>
          <w:rFonts w:cs="Arial"/>
        </w:rPr>
        <w:t xml:space="preserve">This is an empirical research project aiming to </w:t>
      </w:r>
      <w:r w:rsidR="00DF4423">
        <w:rPr>
          <w:rFonts w:cs="Arial"/>
        </w:rPr>
        <w:t>assess the readiness</w:t>
      </w:r>
      <w:r w:rsidRPr="00F23DB7">
        <w:rPr>
          <w:rFonts w:cs="Arial"/>
        </w:rPr>
        <w:t xml:space="preserve"> </w:t>
      </w:r>
      <w:r w:rsidR="00DF4423">
        <w:rPr>
          <w:rFonts w:cs="Arial"/>
        </w:rPr>
        <w:t xml:space="preserve">of </w:t>
      </w:r>
      <w:r w:rsidR="008866AD">
        <w:rPr>
          <w:rFonts w:cs="Arial"/>
        </w:rPr>
        <w:t>TVET Colleges</w:t>
      </w:r>
      <w:r w:rsidR="001A6D0F">
        <w:rPr>
          <w:rFonts w:cs="Arial"/>
        </w:rPr>
        <w:t xml:space="preserve"> on occupational qualifications</w:t>
      </w:r>
      <w:r w:rsidRPr="00F23DB7">
        <w:rPr>
          <w:rFonts w:cs="Arial"/>
        </w:rPr>
        <w:t xml:space="preserve"> by employing both qualitative and quantitative methodology.</w:t>
      </w:r>
      <w:r>
        <w:rPr>
          <w:rFonts w:cs="Arial"/>
        </w:rPr>
        <w:t xml:space="preserve"> </w:t>
      </w:r>
      <w:r w:rsidRPr="00F23DB7">
        <w:rPr>
          <w:rFonts w:cs="Arial"/>
        </w:rPr>
        <w:t xml:space="preserve">Activities include: </w:t>
      </w:r>
    </w:p>
    <w:p w14:paraId="16615EBF" w14:textId="77777777" w:rsidR="008C6AE5" w:rsidRDefault="008C6AE5" w:rsidP="00CE26D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Pr>
          <w:rFonts w:cs="Arial"/>
        </w:rPr>
        <w:t>Project Plan with timelines</w:t>
      </w:r>
    </w:p>
    <w:p w14:paraId="49851295" w14:textId="61468BAD" w:rsidR="00C961D9" w:rsidRDefault="00C961D9" w:rsidP="00CE26D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bookmarkStart w:id="11" w:name="_Toc179384618"/>
      <w:bookmarkStart w:id="12" w:name="_Hlk176444976"/>
      <w:r w:rsidRPr="00C961D9">
        <w:rPr>
          <w:rFonts w:cs="Arial"/>
        </w:rPr>
        <w:t>Designing research instruments that covers but not limited to the questions outlined above</w:t>
      </w:r>
    </w:p>
    <w:p w14:paraId="13B1CAAF" w14:textId="77777777" w:rsidR="00C961D9" w:rsidRDefault="00C961D9" w:rsidP="00CE26D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C961D9">
        <w:rPr>
          <w:rFonts w:cs="Arial"/>
        </w:rPr>
        <w:t>Literature review</w:t>
      </w:r>
    </w:p>
    <w:p w14:paraId="26B9636F" w14:textId="77777777" w:rsidR="00C961D9" w:rsidRDefault="00C961D9" w:rsidP="00CE26D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C961D9">
        <w:rPr>
          <w:rFonts w:cs="Arial"/>
        </w:rPr>
        <w:t>Conduct survey, in-depth Interviews and / or focus groups discussions</w:t>
      </w:r>
    </w:p>
    <w:p w14:paraId="31285438" w14:textId="0D86C8B8" w:rsidR="00C961D9" w:rsidRDefault="00F41795" w:rsidP="00CE26D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Pr>
          <w:rFonts w:cs="Arial"/>
        </w:rPr>
        <w:t>Data a</w:t>
      </w:r>
      <w:r w:rsidR="00C961D9" w:rsidRPr="00C961D9">
        <w:rPr>
          <w:rFonts w:cs="Arial"/>
        </w:rPr>
        <w:t xml:space="preserve">nalysis </w:t>
      </w:r>
    </w:p>
    <w:p w14:paraId="7333B957" w14:textId="77777777" w:rsidR="00C961D9" w:rsidRDefault="00C961D9" w:rsidP="00CE26D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A62F58">
        <w:rPr>
          <w:rFonts w:cs="Arial"/>
        </w:rPr>
        <w:t>Report writing</w:t>
      </w:r>
      <w:r w:rsidRPr="00A62F58">
        <w:rPr>
          <w:rFonts w:cs="Arial"/>
        </w:rPr>
        <w:tab/>
        <w:t xml:space="preserve"> </w:t>
      </w:r>
    </w:p>
    <w:p w14:paraId="65619077" w14:textId="2FD65BBF" w:rsidR="00027509" w:rsidRPr="00A62F58" w:rsidRDefault="00027509" w:rsidP="00CE26D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Pr>
          <w:rFonts w:cs="Arial"/>
        </w:rPr>
        <w:t>Presentation</w:t>
      </w:r>
    </w:p>
    <w:p w14:paraId="37819F48" w14:textId="77777777" w:rsidR="006C1A1B" w:rsidRPr="006C1A1B" w:rsidRDefault="006C1A1B" w:rsidP="00D956B0">
      <w:pPr>
        <w:pStyle w:val="Heading1"/>
      </w:pPr>
      <w:r w:rsidRPr="006C1A1B">
        <w:t>COMPETENCY AND EXPERTISE REQUIREMENTS</w:t>
      </w:r>
      <w:bookmarkEnd w:id="11"/>
    </w:p>
    <w:p w14:paraId="02C86EDE" w14:textId="77777777" w:rsidR="006C1A1B" w:rsidRPr="00BF0963" w:rsidRDefault="006C1A1B" w:rsidP="006C1A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240" w:lineRule="auto"/>
        <w:rPr>
          <w:rFonts w:eastAsia="Calibri" w:cs="Arial"/>
          <w:color w:val="000000"/>
          <w:szCs w:val="22"/>
          <w:bdr w:val="none" w:sz="0" w:space="0" w:color="auto"/>
          <w:lang w:val="en-ZA"/>
        </w:rPr>
      </w:pPr>
    </w:p>
    <w:p w14:paraId="5E51E8BA" w14:textId="77777777" w:rsidR="006C1A1B" w:rsidRPr="00BF0963" w:rsidRDefault="006C1A1B" w:rsidP="006C1A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276" w:lineRule="auto"/>
        <w:rPr>
          <w:rFonts w:eastAsia="Calibri" w:cs="Arial"/>
          <w:color w:val="000000"/>
          <w:szCs w:val="22"/>
          <w:bdr w:val="none" w:sz="0" w:space="0" w:color="auto"/>
          <w:lang w:val="en-ZA"/>
        </w:rPr>
      </w:pPr>
      <w:r w:rsidRPr="00BF0963">
        <w:rPr>
          <w:rFonts w:eastAsia="Calibri" w:cs="Arial"/>
          <w:color w:val="000000"/>
          <w:szCs w:val="22"/>
          <w:bdr w:val="none" w:sz="0" w:space="0" w:color="auto"/>
          <w:lang w:val="en-ZA"/>
        </w:rPr>
        <w:t>The successful bidder must have the following competencies:</w:t>
      </w:r>
    </w:p>
    <w:p w14:paraId="075A1C9D" w14:textId="77777777" w:rsidR="006C1A1B" w:rsidRPr="00BF0963" w:rsidRDefault="006C1A1B" w:rsidP="006C1A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line="276" w:lineRule="auto"/>
        <w:rPr>
          <w:rFonts w:eastAsia="Calibri" w:cs="Arial"/>
          <w:color w:val="000000"/>
          <w:szCs w:val="22"/>
          <w:bdr w:val="none" w:sz="0" w:space="0" w:color="auto"/>
          <w:lang w:val="en-ZA"/>
        </w:rPr>
      </w:pPr>
    </w:p>
    <w:p w14:paraId="270872E0" w14:textId="77777777" w:rsidR="006C1A1B" w:rsidRPr="004B7BB5" w:rsidRDefault="006C1A1B" w:rsidP="004B7BB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4B7BB5">
        <w:rPr>
          <w:rFonts w:cs="Arial"/>
        </w:rPr>
        <w:t>Have proven capacity to undertake a large-scale research project of this nature and to complete the project by the due date.</w:t>
      </w:r>
    </w:p>
    <w:p w14:paraId="0A2BCBED" w14:textId="7DED1DC6" w:rsidR="006C1A1B" w:rsidRPr="004B7BB5" w:rsidRDefault="006C1A1B" w:rsidP="004B7BB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bookmarkStart w:id="13" w:name="_Hlk136436518"/>
      <w:r w:rsidRPr="004B7BB5">
        <w:rPr>
          <w:rFonts w:cs="Arial"/>
        </w:rPr>
        <w:t xml:space="preserve">Must demonstrate </w:t>
      </w:r>
      <w:r w:rsidR="001244F6">
        <w:rPr>
          <w:rFonts w:cs="Arial"/>
        </w:rPr>
        <w:t xml:space="preserve">knowledge </w:t>
      </w:r>
      <w:r w:rsidRPr="004B7BB5">
        <w:rPr>
          <w:rFonts w:cs="Arial"/>
        </w:rPr>
        <w:t>an</w:t>
      </w:r>
      <w:r w:rsidR="001244F6">
        <w:rPr>
          <w:rFonts w:cs="Arial"/>
        </w:rPr>
        <w:t>d</w:t>
      </w:r>
      <w:r w:rsidRPr="004B7BB5">
        <w:rPr>
          <w:rFonts w:cs="Arial"/>
        </w:rPr>
        <w:t xml:space="preserve"> understanding of </w:t>
      </w:r>
      <w:r w:rsidR="00B6703E">
        <w:rPr>
          <w:rFonts w:cs="Arial"/>
        </w:rPr>
        <w:t>occu</w:t>
      </w:r>
      <w:r w:rsidR="00FC4538">
        <w:rPr>
          <w:rFonts w:cs="Arial"/>
        </w:rPr>
        <w:t>pational qualifications</w:t>
      </w:r>
      <w:r w:rsidR="00BE2826">
        <w:rPr>
          <w:rFonts w:cs="Arial"/>
        </w:rPr>
        <w:t>.</w:t>
      </w:r>
    </w:p>
    <w:p w14:paraId="4D3B00B0" w14:textId="3967CA6C" w:rsidR="006C1A1B" w:rsidRPr="004B7BB5" w:rsidRDefault="006C1A1B" w:rsidP="004B7BB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4B7BB5">
        <w:rPr>
          <w:rFonts w:cs="Arial"/>
        </w:rPr>
        <w:t xml:space="preserve">Must demonstrate </w:t>
      </w:r>
      <w:r w:rsidR="00760E11">
        <w:rPr>
          <w:rFonts w:cs="Arial"/>
        </w:rPr>
        <w:t>knowledge in TVET space</w:t>
      </w:r>
      <w:r w:rsidR="00BE2826">
        <w:rPr>
          <w:rFonts w:cs="Arial"/>
        </w:rPr>
        <w:t>.</w:t>
      </w:r>
      <w:r w:rsidRPr="004B7BB5">
        <w:rPr>
          <w:rFonts w:cs="Arial"/>
        </w:rPr>
        <w:t xml:space="preserve"> </w:t>
      </w:r>
      <w:bookmarkEnd w:id="13"/>
    </w:p>
    <w:p w14:paraId="6B96459D" w14:textId="77777777" w:rsidR="006C1A1B" w:rsidRPr="004B7BB5" w:rsidRDefault="006C1A1B" w:rsidP="004B7BB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4B7BB5">
        <w:rPr>
          <w:rFonts w:cs="Arial"/>
        </w:rPr>
        <w:t>An overview of the key personnel to be used on the contract. Provision of curriculum vitae of the team who will be responsible for this project.</w:t>
      </w:r>
    </w:p>
    <w:p w14:paraId="7EF98487" w14:textId="7E151F0D" w:rsidR="006C1A1B" w:rsidRPr="004B7BB5" w:rsidRDefault="006C1A1B" w:rsidP="004B7BB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4B7BB5">
        <w:rPr>
          <w:rFonts w:cs="Arial"/>
        </w:rPr>
        <w:t xml:space="preserve">Please note that the representativity (in terms of race and levels of employment) of the team is an important factor. </w:t>
      </w:r>
    </w:p>
    <w:p w14:paraId="455E2FD8" w14:textId="77777777" w:rsidR="006C1A1B" w:rsidRPr="004B7BB5" w:rsidRDefault="006C1A1B" w:rsidP="004B7BB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4B7BB5">
        <w:rPr>
          <w:rFonts w:cs="Arial"/>
        </w:rPr>
        <w:t>Description of the current infrastructure arrangements (Organisational structure, systems, and networks).</w:t>
      </w:r>
    </w:p>
    <w:p w14:paraId="495E5499" w14:textId="77777777" w:rsidR="006C1A1B" w:rsidRPr="004B7BB5" w:rsidRDefault="006C1A1B" w:rsidP="004B7BB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4B7BB5">
        <w:rPr>
          <w:rFonts w:cs="Arial"/>
        </w:rPr>
        <w:t>The ability to implement the project in a cost-effective way.</w:t>
      </w:r>
    </w:p>
    <w:p w14:paraId="42E05756" w14:textId="77777777" w:rsidR="006C1A1B" w:rsidRPr="004B7BB5" w:rsidRDefault="006C1A1B" w:rsidP="004B7BB5">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after="160"/>
        <w:rPr>
          <w:rFonts w:cs="Arial"/>
        </w:rPr>
      </w:pPr>
      <w:r w:rsidRPr="004B7BB5">
        <w:rPr>
          <w:rFonts w:cs="Arial"/>
        </w:rPr>
        <w:t>Demonstrate these capabilities through a detailed proposal and project plan as guided by this TOR.</w:t>
      </w:r>
    </w:p>
    <w:p w14:paraId="33834B58" w14:textId="5B412038" w:rsidR="006C1A1B" w:rsidRDefault="004B7BB5" w:rsidP="00D956B0">
      <w:pPr>
        <w:pStyle w:val="Heading1"/>
      </w:pPr>
      <w:bookmarkStart w:id="14" w:name="_Toc179384619"/>
      <w:r w:rsidRPr="004B7BB5">
        <w:t xml:space="preserve">DURATION </w:t>
      </w:r>
      <w:r>
        <w:t>OF THE STUDY</w:t>
      </w:r>
      <w:bookmarkEnd w:id="14"/>
    </w:p>
    <w:p w14:paraId="3AA3DA7E" w14:textId="3F6327D2" w:rsidR="004B7BB5" w:rsidRDefault="001B6AAB" w:rsidP="004B7BB5">
      <w:pPr>
        <w:rPr>
          <w:b/>
          <w:bCs/>
          <w:lang w:val="en-ZA"/>
        </w:rPr>
      </w:pPr>
      <w:r>
        <w:rPr>
          <w:b/>
          <w:bCs/>
          <w:lang w:val="en-ZA"/>
        </w:rPr>
        <w:t>December 2024</w:t>
      </w:r>
      <w:r w:rsidR="00AC3840" w:rsidRPr="00AC3840">
        <w:rPr>
          <w:b/>
          <w:bCs/>
          <w:lang w:val="en-ZA"/>
        </w:rPr>
        <w:t xml:space="preserve"> – </w:t>
      </w:r>
      <w:r w:rsidR="00740D6E">
        <w:rPr>
          <w:b/>
          <w:bCs/>
          <w:lang w:val="en-ZA"/>
        </w:rPr>
        <w:t xml:space="preserve">December </w:t>
      </w:r>
      <w:r w:rsidR="00AC3840" w:rsidRPr="00AC3840">
        <w:rPr>
          <w:b/>
          <w:bCs/>
          <w:lang w:val="en-ZA"/>
        </w:rPr>
        <w:t>202</w:t>
      </w:r>
      <w:r w:rsidR="00D45B1A">
        <w:rPr>
          <w:b/>
          <w:bCs/>
          <w:lang w:val="en-ZA"/>
        </w:rPr>
        <w:t>5</w:t>
      </w:r>
    </w:p>
    <w:p w14:paraId="6A23C024" w14:textId="09506C71" w:rsidR="008866AD" w:rsidRDefault="008866AD" w:rsidP="008866AD">
      <w:pPr>
        <w:pStyle w:val="Heading1"/>
      </w:pPr>
      <w:r>
        <w:t xml:space="preserve">TARGETED TVET COLLEGS </w:t>
      </w:r>
    </w:p>
    <w:p w14:paraId="788F2786" w14:textId="6A4C3CA8" w:rsidR="008866AD" w:rsidRPr="00122E46" w:rsidRDefault="008866AD" w:rsidP="008866AD">
      <w:pPr>
        <w:rPr>
          <w:lang w:val="en-ZA"/>
        </w:rPr>
      </w:pPr>
      <w:r w:rsidRPr="00122E46">
        <w:rPr>
          <w:lang w:val="en-ZA"/>
        </w:rPr>
        <w:t>TVET Colleges</w:t>
      </w:r>
      <w:r w:rsidR="00122E46" w:rsidRPr="00122E46">
        <w:rPr>
          <w:lang w:val="en-ZA"/>
        </w:rPr>
        <w:t xml:space="preserve"> (14)</w:t>
      </w:r>
      <w:r w:rsidRPr="00122E46">
        <w:rPr>
          <w:lang w:val="en-ZA"/>
        </w:rPr>
        <w:t xml:space="preserve"> who </w:t>
      </w:r>
      <w:r w:rsidR="00122E46" w:rsidRPr="00122E46">
        <w:rPr>
          <w:lang w:val="en-ZA"/>
        </w:rPr>
        <w:t>responded</w:t>
      </w:r>
      <w:r w:rsidRPr="00122E46">
        <w:rPr>
          <w:lang w:val="en-ZA"/>
        </w:rPr>
        <w:t xml:space="preserve"> to the </w:t>
      </w:r>
      <w:r w:rsidR="00122E46" w:rsidRPr="00122E46">
        <w:rPr>
          <w:lang w:val="en-ZA"/>
        </w:rPr>
        <w:t>Services</w:t>
      </w:r>
      <w:r w:rsidRPr="00122E46">
        <w:rPr>
          <w:lang w:val="en-ZA"/>
        </w:rPr>
        <w:t xml:space="preserve"> SETA expression of interest to </w:t>
      </w:r>
      <w:r w:rsidR="00122E46" w:rsidRPr="00122E46">
        <w:rPr>
          <w:lang w:val="en-ZA"/>
        </w:rPr>
        <w:t>partner</w:t>
      </w:r>
      <w:r w:rsidRPr="00122E46">
        <w:rPr>
          <w:lang w:val="en-ZA"/>
        </w:rPr>
        <w:t xml:space="preserve"> and </w:t>
      </w:r>
      <w:r w:rsidR="00122E46" w:rsidRPr="00122E46">
        <w:rPr>
          <w:lang w:val="en-ZA"/>
        </w:rPr>
        <w:t>implement sector registered occupation qualifications.</w:t>
      </w:r>
      <w:bookmarkEnd w:id="4"/>
      <w:bookmarkEnd w:id="5"/>
      <w:bookmarkEnd w:id="12"/>
    </w:p>
    <w:sectPr w:rsidR="008866AD" w:rsidRPr="00122E46" w:rsidSect="00122E46">
      <w:pgSz w:w="11906" w:h="16838"/>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0D1"/>
    <w:multiLevelType w:val="hybridMultilevel"/>
    <w:tmpl w:val="49B2B30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2B340A9"/>
    <w:multiLevelType w:val="hybridMultilevel"/>
    <w:tmpl w:val="3160A9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C119C"/>
    <w:multiLevelType w:val="hybridMultilevel"/>
    <w:tmpl w:val="7C30C18C"/>
    <w:lvl w:ilvl="0" w:tplc="1C090001">
      <w:start w:val="1"/>
      <w:numFmt w:val="bullet"/>
      <w:lvlText w:val=""/>
      <w:lvlJc w:val="left"/>
      <w:pPr>
        <w:ind w:left="282" w:hanging="360"/>
      </w:pPr>
      <w:rPr>
        <w:rFonts w:ascii="Symbol" w:hAnsi="Symbol" w:hint="default"/>
      </w:rPr>
    </w:lvl>
    <w:lvl w:ilvl="1" w:tplc="1C090003" w:tentative="1">
      <w:start w:val="1"/>
      <w:numFmt w:val="bullet"/>
      <w:lvlText w:val="o"/>
      <w:lvlJc w:val="left"/>
      <w:pPr>
        <w:ind w:left="1002" w:hanging="360"/>
      </w:pPr>
      <w:rPr>
        <w:rFonts w:ascii="Courier New" w:hAnsi="Courier New" w:cs="Courier New" w:hint="default"/>
      </w:rPr>
    </w:lvl>
    <w:lvl w:ilvl="2" w:tplc="1C090005" w:tentative="1">
      <w:start w:val="1"/>
      <w:numFmt w:val="bullet"/>
      <w:lvlText w:val=""/>
      <w:lvlJc w:val="left"/>
      <w:pPr>
        <w:ind w:left="1722" w:hanging="360"/>
      </w:pPr>
      <w:rPr>
        <w:rFonts w:ascii="Wingdings" w:hAnsi="Wingdings" w:hint="default"/>
      </w:rPr>
    </w:lvl>
    <w:lvl w:ilvl="3" w:tplc="1C090001" w:tentative="1">
      <w:start w:val="1"/>
      <w:numFmt w:val="bullet"/>
      <w:lvlText w:val=""/>
      <w:lvlJc w:val="left"/>
      <w:pPr>
        <w:ind w:left="2442" w:hanging="360"/>
      </w:pPr>
      <w:rPr>
        <w:rFonts w:ascii="Symbol" w:hAnsi="Symbol" w:hint="default"/>
      </w:rPr>
    </w:lvl>
    <w:lvl w:ilvl="4" w:tplc="1C090003" w:tentative="1">
      <w:start w:val="1"/>
      <w:numFmt w:val="bullet"/>
      <w:lvlText w:val="o"/>
      <w:lvlJc w:val="left"/>
      <w:pPr>
        <w:ind w:left="3162" w:hanging="360"/>
      </w:pPr>
      <w:rPr>
        <w:rFonts w:ascii="Courier New" w:hAnsi="Courier New" w:cs="Courier New" w:hint="default"/>
      </w:rPr>
    </w:lvl>
    <w:lvl w:ilvl="5" w:tplc="1C090005" w:tentative="1">
      <w:start w:val="1"/>
      <w:numFmt w:val="bullet"/>
      <w:lvlText w:val=""/>
      <w:lvlJc w:val="left"/>
      <w:pPr>
        <w:ind w:left="3882" w:hanging="360"/>
      </w:pPr>
      <w:rPr>
        <w:rFonts w:ascii="Wingdings" w:hAnsi="Wingdings" w:hint="default"/>
      </w:rPr>
    </w:lvl>
    <w:lvl w:ilvl="6" w:tplc="1C090001" w:tentative="1">
      <w:start w:val="1"/>
      <w:numFmt w:val="bullet"/>
      <w:lvlText w:val=""/>
      <w:lvlJc w:val="left"/>
      <w:pPr>
        <w:ind w:left="4602" w:hanging="360"/>
      </w:pPr>
      <w:rPr>
        <w:rFonts w:ascii="Symbol" w:hAnsi="Symbol" w:hint="default"/>
      </w:rPr>
    </w:lvl>
    <w:lvl w:ilvl="7" w:tplc="1C090003" w:tentative="1">
      <w:start w:val="1"/>
      <w:numFmt w:val="bullet"/>
      <w:lvlText w:val="o"/>
      <w:lvlJc w:val="left"/>
      <w:pPr>
        <w:ind w:left="5322" w:hanging="360"/>
      </w:pPr>
      <w:rPr>
        <w:rFonts w:ascii="Courier New" w:hAnsi="Courier New" w:cs="Courier New" w:hint="default"/>
      </w:rPr>
    </w:lvl>
    <w:lvl w:ilvl="8" w:tplc="1C090005" w:tentative="1">
      <w:start w:val="1"/>
      <w:numFmt w:val="bullet"/>
      <w:lvlText w:val=""/>
      <w:lvlJc w:val="left"/>
      <w:pPr>
        <w:ind w:left="6042" w:hanging="360"/>
      </w:pPr>
      <w:rPr>
        <w:rFonts w:ascii="Wingdings" w:hAnsi="Wingdings" w:hint="default"/>
      </w:rPr>
    </w:lvl>
  </w:abstractNum>
  <w:abstractNum w:abstractNumId="3" w15:restartNumberingAfterBreak="0">
    <w:nsid w:val="06260CA7"/>
    <w:multiLevelType w:val="hybridMultilevel"/>
    <w:tmpl w:val="3160A9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067F7B"/>
    <w:multiLevelType w:val="hybridMultilevel"/>
    <w:tmpl w:val="C690248C"/>
    <w:lvl w:ilvl="0" w:tplc="1C090001">
      <w:start w:val="1"/>
      <w:numFmt w:val="bullet"/>
      <w:lvlText w:val=""/>
      <w:lvlJc w:val="left"/>
      <w:pPr>
        <w:ind w:left="3479" w:hanging="360"/>
      </w:pPr>
      <w:rPr>
        <w:rFonts w:ascii="Symbol" w:hAnsi="Symbol" w:hint="default"/>
      </w:rPr>
    </w:lvl>
    <w:lvl w:ilvl="1" w:tplc="1C090003" w:tentative="1">
      <w:start w:val="1"/>
      <w:numFmt w:val="bullet"/>
      <w:lvlText w:val="o"/>
      <w:lvlJc w:val="left"/>
      <w:pPr>
        <w:ind w:left="4199" w:hanging="360"/>
      </w:pPr>
      <w:rPr>
        <w:rFonts w:ascii="Courier New" w:hAnsi="Courier New" w:cs="Courier New" w:hint="default"/>
      </w:rPr>
    </w:lvl>
    <w:lvl w:ilvl="2" w:tplc="1C090005" w:tentative="1">
      <w:start w:val="1"/>
      <w:numFmt w:val="bullet"/>
      <w:lvlText w:val=""/>
      <w:lvlJc w:val="left"/>
      <w:pPr>
        <w:ind w:left="4919" w:hanging="360"/>
      </w:pPr>
      <w:rPr>
        <w:rFonts w:ascii="Wingdings" w:hAnsi="Wingdings" w:hint="default"/>
      </w:rPr>
    </w:lvl>
    <w:lvl w:ilvl="3" w:tplc="1C090001" w:tentative="1">
      <w:start w:val="1"/>
      <w:numFmt w:val="bullet"/>
      <w:lvlText w:val=""/>
      <w:lvlJc w:val="left"/>
      <w:pPr>
        <w:ind w:left="5639" w:hanging="360"/>
      </w:pPr>
      <w:rPr>
        <w:rFonts w:ascii="Symbol" w:hAnsi="Symbol" w:hint="default"/>
      </w:rPr>
    </w:lvl>
    <w:lvl w:ilvl="4" w:tplc="1C090003" w:tentative="1">
      <w:start w:val="1"/>
      <w:numFmt w:val="bullet"/>
      <w:lvlText w:val="o"/>
      <w:lvlJc w:val="left"/>
      <w:pPr>
        <w:ind w:left="6359" w:hanging="360"/>
      </w:pPr>
      <w:rPr>
        <w:rFonts w:ascii="Courier New" w:hAnsi="Courier New" w:cs="Courier New" w:hint="default"/>
      </w:rPr>
    </w:lvl>
    <w:lvl w:ilvl="5" w:tplc="1C090005" w:tentative="1">
      <w:start w:val="1"/>
      <w:numFmt w:val="bullet"/>
      <w:lvlText w:val=""/>
      <w:lvlJc w:val="left"/>
      <w:pPr>
        <w:ind w:left="7079" w:hanging="360"/>
      </w:pPr>
      <w:rPr>
        <w:rFonts w:ascii="Wingdings" w:hAnsi="Wingdings" w:hint="default"/>
      </w:rPr>
    </w:lvl>
    <w:lvl w:ilvl="6" w:tplc="1C090001" w:tentative="1">
      <w:start w:val="1"/>
      <w:numFmt w:val="bullet"/>
      <w:lvlText w:val=""/>
      <w:lvlJc w:val="left"/>
      <w:pPr>
        <w:ind w:left="7799" w:hanging="360"/>
      </w:pPr>
      <w:rPr>
        <w:rFonts w:ascii="Symbol" w:hAnsi="Symbol" w:hint="default"/>
      </w:rPr>
    </w:lvl>
    <w:lvl w:ilvl="7" w:tplc="1C090003" w:tentative="1">
      <w:start w:val="1"/>
      <w:numFmt w:val="bullet"/>
      <w:lvlText w:val="o"/>
      <w:lvlJc w:val="left"/>
      <w:pPr>
        <w:ind w:left="8519" w:hanging="360"/>
      </w:pPr>
      <w:rPr>
        <w:rFonts w:ascii="Courier New" w:hAnsi="Courier New" w:cs="Courier New" w:hint="default"/>
      </w:rPr>
    </w:lvl>
    <w:lvl w:ilvl="8" w:tplc="1C090005" w:tentative="1">
      <w:start w:val="1"/>
      <w:numFmt w:val="bullet"/>
      <w:lvlText w:val=""/>
      <w:lvlJc w:val="left"/>
      <w:pPr>
        <w:ind w:left="9239" w:hanging="360"/>
      </w:pPr>
      <w:rPr>
        <w:rFonts w:ascii="Wingdings" w:hAnsi="Wingdings" w:hint="default"/>
      </w:rPr>
    </w:lvl>
  </w:abstractNum>
  <w:abstractNum w:abstractNumId="5" w15:restartNumberingAfterBreak="0">
    <w:nsid w:val="179D20FE"/>
    <w:multiLevelType w:val="hybridMultilevel"/>
    <w:tmpl w:val="71148E1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D4C2B04"/>
    <w:multiLevelType w:val="hybridMultilevel"/>
    <w:tmpl w:val="0FF47188"/>
    <w:lvl w:ilvl="0" w:tplc="E668C500">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F6C1A6C"/>
    <w:multiLevelType w:val="hybridMultilevel"/>
    <w:tmpl w:val="0CCE8CB8"/>
    <w:lvl w:ilvl="0" w:tplc="D696B9E8">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23F5187D"/>
    <w:multiLevelType w:val="hybridMultilevel"/>
    <w:tmpl w:val="98C648C8"/>
    <w:lvl w:ilvl="0" w:tplc="B82CF7D0">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61773EE"/>
    <w:multiLevelType w:val="hybridMultilevel"/>
    <w:tmpl w:val="89ECA7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6F83A91"/>
    <w:multiLevelType w:val="hybridMultilevel"/>
    <w:tmpl w:val="7292BE68"/>
    <w:lvl w:ilvl="0" w:tplc="1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1106E86"/>
    <w:multiLevelType w:val="hybridMultilevel"/>
    <w:tmpl w:val="3160A9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633620"/>
    <w:multiLevelType w:val="hybridMultilevel"/>
    <w:tmpl w:val="41C8FF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B544680"/>
    <w:multiLevelType w:val="hybridMultilevel"/>
    <w:tmpl w:val="CF6C2336"/>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C679A7"/>
    <w:multiLevelType w:val="hybridMultilevel"/>
    <w:tmpl w:val="A49686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1D9663B"/>
    <w:multiLevelType w:val="hybridMultilevel"/>
    <w:tmpl w:val="516857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AAD02DC"/>
    <w:multiLevelType w:val="hybridMultilevel"/>
    <w:tmpl w:val="86F605F0"/>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5A40F1"/>
    <w:multiLevelType w:val="hybridMultilevel"/>
    <w:tmpl w:val="8C447ECA"/>
    <w:lvl w:ilvl="0" w:tplc="A5C02FF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4C149CA"/>
    <w:multiLevelType w:val="hybridMultilevel"/>
    <w:tmpl w:val="EB00E4E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50979F8"/>
    <w:multiLevelType w:val="hybridMultilevel"/>
    <w:tmpl w:val="C298BF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8643DC4"/>
    <w:multiLevelType w:val="hybridMultilevel"/>
    <w:tmpl w:val="9456209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B0A642F"/>
    <w:multiLevelType w:val="hybridMultilevel"/>
    <w:tmpl w:val="3160A9A8"/>
    <w:lvl w:ilvl="0" w:tplc="F1DE74B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C49240D"/>
    <w:multiLevelType w:val="hybridMultilevel"/>
    <w:tmpl w:val="99A60CA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637F40BC"/>
    <w:multiLevelType w:val="hybridMultilevel"/>
    <w:tmpl w:val="81FE68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E55C23"/>
    <w:multiLevelType w:val="hybridMultilevel"/>
    <w:tmpl w:val="7B306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E66290"/>
    <w:multiLevelType w:val="hybridMultilevel"/>
    <w:tmpl w:val="3160A9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481370"/>
    <w:multiLevelType w:val="hybridMultilevel"/>
    <w:tmpl w:val="3160A9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854F6B"/>
    <w:multiLevelType w:val="hybridMultilevel"/>
    <w:tmpl w:val="E0B88E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D161AC6"/>
    <w:multiLevelType w:val="hybridMultilevel"/>
    <w:tmpl w:val="CD060FA0"/>
    <w:lvl w:ilvl="0" w:tplc="F1DE74BE">
      <w:start w:val="1"/>
      <w:numFmt w:val="lowerRoman"/>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D7243EA"/>
    <w:multiLevelType w:val="hybridMultilevel"/>
    <w:tmpl w:val="50C0524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7DBB32B6"/>
    <w:multiLevelType w:val="hybridMultilevel"/>
    <w:tmpl w:val="8A2AD1A6"/>
    <w:lvl w:ilvl="0" w:tplc="1C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03223670">
    <w:abstractNumId w:val="7"/>
  </w:num>
  <w:num w:numId="2" w16cid:durableId="1293948628">
    <w:abstractNumId w:val="19"/>
  </w:num>
  <w:num w:numId="3" w16cid:durableId="169952315">
    <w:abstractNumId w:val="4"/>
  </w:num>
  <w:num w:numId="4" w16cid:durableId="1486892314">
    <w:abstractNumId w:val="22"/>
  </w:num>
  <w:num w:numId="5" w16cid:durableId="2097089521">
    <w:abstractNumId w:val="12"/>
  </w:num>
  <w:num w:numId="6" w16cid:durableId="1022973852">
    <w:abstractNumId w:val="5"/>
  </w:num>
  <w:num w:numId="7" w16cid:durableId="1191989014">
    <w:abstractNumId w:val="20"/>
  </w:num>
  <w:num w:numId="8" w16cid:durableId="2061198324">
    <w:abstractNumId w:val="24"/>
  </w:num>
  <w:num w:numId="9" w16cid:durableId="2099786659">
    <w:abstractNumId w:val="10"/>
  </w:num>
  <w:num w:numId="10" w16cid:durableId="1263997363">
    <w:abstractNumId w:val="14"/>
  </w:num>
  <w:num w:numId="11" w16cid:durableId="1549107156">
    <w:abstractNumId w:val="16"/>
  </w:num>
  <w:num w:numId="12" w16cid:durableId="1491409886">
    <w:abstractNumId w:val="15"/>
  </w:num>
  <w:num w:numId="13" w16cid:durableId="1838761153">
    <w:abstractNumId w:val="13"/>
  </w:num>
  <w:num w:numId="14" w16cid:durableId="1517116657">
    <w:abstractNumId w:val="23"/>
  </w:num>
  <w:num w:numId="15" w16cid:durableId="618561236">
    <w:abstractNumId w:val="7"/>
  </w:num>
  <w:num w:numId="16" w16cid:durableId="1499079187">
    <w:abstractNumId w:val="28"/>
  </w:num>
  <w:num w:numId="17" w16cid:durableId="1087724746">
    <w:abstractNumId w:val="6"/>
  </w:num>
  <w:num w:numId="18" w16cid:durableId="1039672064">
    <w:abstractNumId w:val="21"/>
  </w:num>
  <w:num w:numId="19" w16cid:durableId="660352133">
    <w:abstractNumId w:val="9"/>
  </w:num>
  <w:num w:numId="20" w16cid:durableId="1437017376">
    <w:abstractNumId w:val="27"/>
  </w:num>
  <w:num w:numId="21" w16cid:durableId="1665930754">
    <w:abstractNumId w:val="2"/>
  </w:num>
  <w:num w:numId="22" w16cid:durableId="64845478">
    <w:abstractNumId w:val="0"/>
  </w:num>
  <w:num w:numId="23" w16cid:durableId="1640266259">
    <w:abstractNumId w:val="26"/>
  </w:num>
  <w:num w:numId="24" w16cid:durableId="1729843249">
    <w:abstractNumId w:val="1"/>
  </w:num>
  <w:num w:numId="25" w16cid:durableId="1455445960">
    <w:abstractNumId w:val="11"/>
  </w:num>
  <w:num w:numId="26" w16cid:durableId="973173825">
    <w:abstractNumId w:val="8"/>
  </w:num>
  <w:num w:numId="27" w16cid:durableId="524905219">
    <w:abstractNumId w:val="8"/>
  </w:num>
  <w:num w:numId="28" w16cid:durableId="1031688533">
    <w:abstractNumId w:val="8"/>
  </w:num>
  <w:num w:numId="29" w16cid:durableId="1965260462">
    <w:abstractNumId w:val="8"/>
  </w:num>
  <w:num w:numId="30" w16cid:durableId="1790583215">
    <w:abstractNumId w:val="25"/>
  </w:num>
  <w:num w:numId="31" w16cid:durableId="676813938">
    <w:abstractNumId w:val="8"/>
  </w:num>
  <w:num w:numId="32" w16cid:durableId="1430736602">
    <w:abstractNumId w:val="8"/>
  </w:num>
  <w:num w:numId="33" w16cid:durableId="1344278755">
    <w:abstractNumId w:val="18"/>
  </w:num>
  <w:num w:numId="34" w16cid:durableId="251159119">
    <w:abstractNumId w:val="8"/>
  </w:num>
  <w:num w:numId="35" w16cid:durableId="1213886289">
    <w:abstractNumId w:val="17"/>
  </w:num>
  <w:num w:numId="36" w16cid:durableId="1740787359">
    <w:abstractNumId w:val="29"/>
  </w:num>
  <w:num w:numId="37" w16cid:durableId="785348881">
    <w:abstractNumId w:val="30"/>
  </w:num>
  <w:num w:numId="38" w16cid:durableId="335572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wMLS0NDM3MTM3tDRW0lEKTi0uzszPAykwrgUAbM2YvywAAAA="/>
  </w:docVars>
  <w:rsids>
    <w:rsidRoot w:val="00BF0963"/>
    <w:rsid w:val="0000683A"/>
    <w:rsid w:val="00020451"/>
    <w:rsid w:val="00027509"/>
    <w:rsid w:val="000C72D4"/>
    <w:rsid w:val="000D36CB"/>
    <w:rsid w:val="000F4376"/>
    <w:rsid w:val="00122E46"/>
    <w:rsid w:val="001244F6"/>
    <w:rsid w:val="001772C0"/>
    <w:rsid w:val="00177D2B"/>
    <w:rsid w:val="00197B58"/>
    <w:rsid w:val="001A6D0F"/>
    <w:rsid w:val="001B6AAB"/>
    <w:rsid w:val="00217A70"/>
    <w:rsid w:val="002300A3"/>
    <w:rsid w:val="00255FFE"/>
    <w:rsid w:val="002708D9"/>
    <w:rsid w:val="00287970"/>
    <w:rsid w:val="002F0C8E"/>
    <w:rsid w:val="00324BB1"/>
    <w:rsid w:val="00417BC3"/>
    <w:rsid w:val="00437083"/>
    <w:rsid w:val="004B7BB5"/>
    <w:rsid w:val="004F7E48"/>
    <w:rsid w:val="005351A2"/>
    <w:rsid w:val="005539D7"/>
    <w:rsid w:val="00567BDC"/>
    <w:rsid w:val="00571A1D"/>
    <w:rsid w:val="00574928"/>
    <w:rsid w:val="00585980"/>
    <w:rsid w:val="00590FC9"/>
    <w:rsid w:val="0059700C"/>
    <w:rsid w:val="005A06CF"/>
    <w:rsid w:val="005F48B0"/>
    <w:rsid w:val="00617903"/>
    <w:rsid w:val="00637456"/>
    <w:rsid w:val="0068375D"/>
    <w:rsid w:val="006B0648"/>
    <w:rsid w:val="006C1A1B"/>
    <w:rsid w:val="007273CD"/>
    <w:rsid w:val="00740D6E"/>
    <w:rsid w:val="0075384E"/>
    <w:rsid w:val="00760E11"/>
    <w:rsid w:val="00820A71"/>
    <w:rsid w:val="00821E6F"/>
    <w:rsid w:val="008369AF"/>
    <w:rsid w:val="00864172"/>
    <w:rsid w:val="008866AD"/>
    <w:rsid w:val="00891078"/>
    <w:rsid w:val="008A206C"/>
    <w:rsid w:val="008B78CD"/>
    <w:rsid w:val="008C6AE5"/>
    <w:rsid w:val="008C6EBF"/>
    <w:rsid w:val="008C6FC9"/>
    <w:rsid w:val="008D54E4"/>
    <w:rsid w:val="00922759"/>
    <w:rsid w:val="00942AD1"/>
    <w:rsid w:val="009508D9"/>
    <w:rsid w:val="0097736F"/>
    <w:rsid w:val="00986C48"/>
    <w:rsid w:val="00986E8D"/>
    <w:rsid w:val="009D0BA2"/>
    <w:rsid w:val="009F301D"/>
    <w:rsid w:val="00A0060A"/>
    <w:rsid w:val="00A019D8"/>
    <w:rsid w:val="00A13362"/>
    <w:rsid w:val="00A27641"/>
    <w:rsid w:val="00A47BB4"/>
    <w:rsid w:val="00A62F58"/>
    <w:rsid w:val="00A64374"/>
    <w:rsid w:val="00A720E6"/>
    <w:rsid w:val="00A75633"/>
    <w:rsid w:val="00AB1086"/>
    <w:rsid w:val="00AB4381"/>
    <w:rsid w:val="00AB54EE"/>
    <w:rsid w:val="00AC3840"/>
    <w:rsid w:val="00AE39F4"/>
    <w:rsid w:val="00B1490B"/>
    <w:rsid w:val="00B65884"/>
    <w:rsid w:val="00B6703E"/>
    <w:rsid w:val="00BC5FE3"/>
    <w:rsid w:val="00BD2507"/>
    <w:rsid w:val="00BD25C3"/>
    <w:rsid w:val="00BD2786"/>
    <w:rsid w:val="00BE2826"/>
    <w:rsid w:val="00BF0963"/>
    <w:rsid w:val="00C157CA"/>
    <w:rsid w:val="00C53264"/>
    <w:rsid w:val="00C557DB"/>
    <w:rsid w:val="00C61299"/>
    <w:rsid w:val="00C709DE"/>
    <w:rsid w:val="00C757C8"/>
    <w:rsid w:val="00C95DB8"/>
    <w:rsid w:val="00C961D9"/>
    <w:rsid w:val="00CB0AE5"/>
    <w:rsid w:val="00CC2333"/>
    <w:rsid w:val="00CE26DE"/>
    <w:rsid w:val="00D02BDE"/>
    <w:rsid w:val="00D031C4"/>
    <w:rsid w:val="00D0705C"/>
    <w:rsid w:val="00D45B1A"/>
    <w:rsid w:val="00D73724"/>
    <w:rsid w:val="00D869BD"/>
    <w:rsid w:val="00D901C8"/>
    <w:rsid w:val="00D956B0"/>
    <w:rsid w:val="00DB02B9"/>
    <w:rsid w:val="00DB245C"/>
    <w:rsid w:val="00DB5035"/>
    <w:rsid w:val="00DD7EFB"/>
    <w:rsid w:val="00DF4423"/>
    <w:rsid w:val="00E1352E"/>
    <w:rsid w:val="00E56519"/>
    <w:rsid w:val="00E75731"/>
    <w:rsid w:val="00E873D1"/>
    <w:rsid w:val="00EB17F0"/>
    <w:rsid w:val="00F03DF4"/>
    <w:rsid w:val="00F242CC"/>
    <w:rsid w:val="00F41795"/>
    <w:rsid w:val="00F50EDF"/>
    <w:rsid w:val="00F610B7"/>
    <w:rsid w:val="00F832B3"/>
    <w:rsid w:val="00FA1687"/>
    <w:rsid w:val="00FB037E"/>
    <w:rsid w:val="00FC4538"/>
    <w:rsid w:val="00FC5E81"/>
    <w:rsid w:val="00FD2A83"/>
    <w:rsid w:val="00FE47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2FF3"/>
  <w15:docId w15:val="{C20F023D-277A-4646-80FA-8DFCDDD2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bdr w:val="nil"/>
        <w:lang w:val="en-ZA" w:eastAsia="en-US" w:bidi="ar-SA"/>
        <w14:ligatures w14:val="standardContextual"/>
      </w:rPr>
    </w:rPrDefault>
    <w:pPrDefault>
      <w:pPr>
        <w:pBdr>
          <w:top w:val="nil"/>
          <w:left w:val="nil"/>
          <w:bottom w:val="nil"/>
          <w:right w:val="nil"/>
          <w:between w:val="nil"/>
          <w:bar w:val="nil"/>
        </w:pBd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05C"/>
    <w:rPr>
      <w:rFonts w:ascii="Arial" w:hAnsi="Arial"/>
      <w:kern w:val="0"/>
      <w:sz w:val="22"/>
      <w:szCs w:val="24"/>
      <w:lang w:val="en-US"/>
      <w14:ligatures w14:val="none"/>
    </w:rPr>
  </w:style>
  <w:style w:type="paragraph" w:styleId="Heading1">
    <w:name w:val="heading 1"/>
    <w:basedOn w:val="Normal"/>
    <w:next w:val="Normal"/>
    <w:link w:val="Heading1Char"/>
    <w:autoRedefine/>
    <w:uiPriority w:val="9"/>
    <w:qFormat/>
    <w:rsid w:val="00D956B0"/>
    <w:pPr>
      <w:keepNext/>
      <w:keepLines/>
      <w:spacing w:after="0"/>
      <w:outlineLvl w:val="0"/>
    </w:pPr>
    <w:rPr>
      <w:rFonts w:eastAsia="Times New Roman" w:cstheme="majorBidi"/>
      <w:b/>
      <w:color w:val="F37F01"/>
      <w:sz w:val="24"/>
      <w:szCs w:val="28"/>
      <w:bdr w:val="none" w:sz="0" w:space="0" w:color="auto"/>
      <w:lang w:val="en-ZA"/>
    </w:rPr>
  </w:style>
  <w:style w:type="paragraph" w:styleId="Heading2">
    <w:name w:val="heading 2"/>
    <w:next w:val="Normal"/>
    <w:link w:val="Heading2Char"/>
    <w:uiPriority w:val="9"/>
    <w:unhideWhenUsed/>
    <w:qFormat/>
    <w:rsid w:val="00FE47BA"/>
    <w:pPr>
      <w:keepNext/>
      <w:keepLines/>
      <w:spacing w:before="40" w:after="0"/>
      <w:jc w:val="left"/>
      <w:outlineLvl w:val="1"/>
    </w:pPr>
    <w:rPr>
      <w:rFonts w:ascii="Arial" w:eastAsia="Arial" w:hAnsi="Arial" w:cs="Arial"/>
      <w:b/>
      <w:bCs/>
      <w:color w:val="000000"/>
      <w:sz w:val="28"/>
      <w:szCs w:val="28"/>
      <w:u w:color="000000"/>
    </w:rPr>
  </w:style>
  <w:style w:type="paragraph" w:styleId="Heading3">
    <w:name w:val="heading 3"/>
    <w:basedOn w:val="Normal"/>
    <w:next w:val="Normal"/>
    <w:link w:val="Heading3Char"/>
    <w:uiPriority w:val="9"/>
    <w:unhideWhenUsed/>
    <w:qFormat/>
    <w:rsid w:val="00FE47BA"/>
    <w:pPr>
      <w:keepNext/>
      <w:keepLines/>
      <w:spacing w:before="40" w:after="0"/>
      <w:outlineLvl w:val="2"/>
    </w:pPr>
    <w:rPr>
      <w:rFonts w:asciiTheme="majorHAnsi" w:eastAsiaTheme="majorEastAsia" w:hAnsiTheme="majorHAnsi" w:cstheme="majorBidi"/>
      <w:color w:val="4760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6B0"/>
    <w:rPr>
      <w:rFonts w:ascii="Arial" w:eastAsia="Times New Roman" w:hAnsi="Arial" w:cstheme="majorBidi"/>
      <w:b/>
      <w:color w:val="F37F01"/>
      <w:kern w:val="0"/>
      <w:sz w:val="24"/>
      <w:szCs w:val="28"/>
      <w:bdr w:val="none" w:sz="0" w:space="0" w:color="auto"/>
      <w14:ligatures w14:val="none"/>
    </w:rPr>
  </w:style>
  <w:style w:type="character" w:customStyle="1" w:styleId="Heading2Char">
    <w:name w:val="Heading 2 Char"/>
    <w:basedOn w:val="DefaultParagraphFont"/>
    <w:link w:val="Heading2"/>
    <w:uiPriority w:val="9"/>
    <w:rsid w:val="00FE47BA"/>
    <w:rPr>
      <w:rFonts w:ascii="Arial" w:eastAsia="Arial" w:hAnsi="Arial" w:cs="Arial"/>
      <w:b/>
      <w:bCs/>
      <w:color w:val="000000"/>
      <w:sz w:val="28"/>
      <w:szCs w:val="28"/>
      <w:u w:color="000000"/>
    </w:rPr>
  </w:style>
  <w:style w:type="character" w:customStyle="1" w:styleId="Heading3Char">
    <w:name w:val="Heading 3 Char"/>
    <w:basedOn w:val="DefaultParagraphFont"/>
    <w:link w:val="Heading3"/>
    <w:uiPriority w:val="9"/>
    <w:rsid w:val="00FE47BA"/>
    <w:rPr>
      <w:rFonts w:asciiTheme="majorHAnsi" w:eastAsiaTheme="majorEastAsia" w:hAnsiTheme="majorHAnsi" w:cstheme="majorBidi"/>
      <w:color w:val="476013" w:themeColor="accent1" w:themeShade="7F"/>
      <w:sz w:val="24"/>
      <w:szCs w:val="24"/>
      <w:lang w:val="en-US"/>
    </w:rPr>
  </w:style>
  <w:style w:type="paragraph" w:styleId="Title">
    <w:name w:val="Title"/>
    <w:basedOn w:val="Normal"/>
    <w:next w:val="Normal"/>
    <w:link w:val="TitleChar"/>
    <w:uiPriority w:val="10"/>
    <w:qFormat/>
    <w:rsid w:val="00FE47B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7BA"/>
    <w:rPr>
      <w:rFonts w:asciiTheme="majorHAnsi" w:eastAsiaTheme="majorEastAsia" w:hAnsiTheme="majorHAnsi" w:cstheme="majorBidi"/>
      <w:spacing w:val="-10"/>
      <w:kern w:val="28"/>
      <w:sz w:val="56"/>
      <w:szCs w:val="56"/>
      <w:lang w:val="en-US"/>
    </w:rPr>
  </w:style>
  <w:style w:type="paragraph" w:styleId="TOCHeading">
    <w:name w:val="TOC Heading"/>
    <w:basedOn w:val="Heading1"/>
    <w:next w:val="Normal"/>
    <w:uiPriority w:val="39"/>
    <w:unhideWhenUsed/>
    <w:qFormat/>
    <w:rsid w:val="00FE47BA"/>
    <w:p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jc w:val="left"/>
      <w:outlineLvl w:val="9"/>
    </w:pPr>
    <w:rPr>
      <w:rFonts w:asciiTheme="majorHAnsi" w:hAnsiTheme="majorHAnsi"/>
      <w:b w:val="0"/>
      <w:color w:val="6B911C" w:themeColor="accent1" w:themeShade="BF"/>
      <w:sz w:val="32"/>
    </w:rPr>
  </w:style>
  <w:style w:type="paragraph" w:styleId="ListParagraph">
    <w:name w:val="List Paragraph"/>
    <w:basedOn w:val="Normal"/>
    <w:uiPriority w:val="34"/>
    <w:qFormat/>
    <w:rsid w:val="00BF0963"/>
    <w:pPr>
      <w:ind w:left="720"/>
      <w:contextualSpacing/>
    </w:pPr>
  </w:style>
  <w:style w:type="paragraph" w:styleId="Revision">
    <w:name w:val="Revision"/>
    <w:hidden/>
    <w:uiPriority w:val="99"/>
    <w:semiHidden/>
    <w:rsid w:val="00417BC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left"/>
    </w:pPr>
    <w:rPr>
      <w:rFonts w:ascii="Arial" w:hAnsi="Arial"/>
      <w:kern w:val="0"/>
      <w:sz w:val="22"/>
      <w:szCs w:val="24"/>
      <w:lang w:val="en-US"/>
      <w14:ligatures w14:val="none"/>
    </w:rPr>
  </w:style>
  <w:style w:type="character" w:styleId="CommentReference">
    <w:name w:val="annotation reference"/>
    <w:basedOn w:val="DefaultParagraphFont"/>
    <w:uiPriority w:val="99"/>
    <w:semiHidden/>
    <w:unhideWhenUsed/>
    <w:rsid w:val="00417BC3"/>
    <w:rPr>
      <w:sz w:val="16"/>
      <w:szCs w:val="16"/>
    </w:rPr>
  </w:style>
  <w:style w:type="paragraph" w:styleId="CommentText">
    <w:name w:val="annotation text"/>
    <w:basedOn w:val="Normal"/>
    <w:link w:val="CommentTextChar"/>
    <w:uiPriority w:val="99"/>
    <w:unhideWhenUsed/>
    <w:rsid w:val="00417BC3"/>
    <w:pPr>
      <w:spacing w:line="240" w:lineRule="auto"/>
    </w:pPr>
    <w:rPr>
      <w:sz w:val="20"/>
      <w:szCs w:val="20"/>
    </w:rPr>
  </w:style>
  <w:style w:type="character" w:customStyle="1" w:styleId="CommentTextChar">
    <w:name w:val="Comment Text Char"/>
    <w:basedOn w:val="DefaultParagraphFont"/>
    <w:link w:val="CommentText"/>
    <w:uiPriority w:val="99"/>
    <w:rsid w:val="00417BC3"/>
    <w:rPr>
      <w:rFonts w:ascii="Arial" w:hAnsi="Arial"/>
      <w:kern w:val="0"/>
      <w:lang w:val="en-US"/>
      <w14:ligatures w14:val="none"/>
    </w:rPr>
  </w:style>
  <w:style w:type="paragraph" w:styleId="CommentSubject">
    <w:name w:val="annotation subject"/>
    <w:basedOn w:val="CommentText"/>
    <w:next w:val="CommentText"/>
    <w:link w:val="CommentSubjectChar"/>
    <w:uiPriority w:val="99"/>
    <w:semiHidden/>
    <w:unhideWhenUsed/>
    <w:rsid w:val="00417BC3"/>
    <w:rPr>
      <w:b/>
      <w:bCs/>
    </w:rPr>
  </w:style>
  <w:style w:type="character" w:customStyle="1" w:styleId="CommentSubjectChar">
    <w:name w:val="Comment Subject Char"/>
    <w:basedOn w:val="CommentTextChar"/>
    <w:link w:val="CommentSubject"/>
    <w:uiPriority w:val="99"/>
    <w:semiHidden/>
    <w:rsid w:val="00417BC3"/>
    <w:rPr>
      <w:rFonts w:ascii="Arial" w:hAnsi="Arial"/>
      <w:b/>
      <w:bCs/>
      <w:kern w:val="0"/>
      <w:lang w:val="en-US"/>
      <w14:ligatures w14:val="none"/>
    </w:rPr>
  </w:style>
  <w:style w:type="table" w:styleId="TableGrid">
    <w:name w:val="Table Grid"/>
    <w:basedOn w:val="TableNormal"/>
    <w:uiPriority w:val="39"/>
    <w:rsid w:val="008C6AE5"/>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left"/>
    </w:pPr>
    <w:rPr>
      <w:rFonts w:asciiTheme="minorHAnsi" w:hAnsiTheme="minorHAnsi" w:cstheme="minorBidi"/>
      <w:kern w:val="0"/>
      <w:sz w:val="22"/>
      <w:szCs w:val="22"/>
      <w:bdr w:val="none" w:sz="0" w:space="0" w:color="aut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956B0"/>
    <w:pPr>
      <w:pBdr>
        <w:top w:val="none" w:sz="0" w:space="0" w:color="auto"/>
        <w:left w:val="none" w:sz="0" w:space="0" w:color="auto"/>
        <w:bottom w:val="none" w:sz="0" w:space="0" w:color="auto"/>
        <w:right w:val="none" w:sz="0" w:space="0" w:color="auto"/>
        <w:between w:val="none" w:sz="0" w:space="0" w:color="auto"/>
        <w:bar w:val="none" w:sz="0" w:color="auto"/>
      </w:pBdr>
      <w:spacing w:before="0" w:after="100"/>
    </w:pPr>
    <w:rPr>
      <w:rFonts w:cstheme="minorBidi"/>
      <w:szCs w:val="22"/>
      <w:bdr w:val="none" w:sz="0" w:space="0" w:color="auto"/>
      <w:lang w:val="en-ZA"/>
    </w:rPr>
  </w:style>
  <w:style w:type="character" w:styleId="Hyperlink">
    <w:name w:val="Hyperlink"/>
    <w:basedOn w:val="DefaultParagraphFont"/>
    <w:uiPriority w:val="99"/>
    <w:unhideWhenUsed/>
    <w:rsid w:val="00D956B0"/>
    <w:rPr>
      <w:color w:val="99CA3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DHE17</b:Tag>
    <b:SourceType>Report</b:SourceType>
    <b:Guid>{33906F38-A0E6-40D9-920B-8678C1C07FE7}</b:Guid>
    <b:Title>The National Skills Development Plan (2030)</b:Title>
    <b:Year>2017</b:Year>
    <b:Author>
      <b:Author>
        <b:Corporate>DHET</b:Corporate>
      </b:Author>
    </b:Author>
    <b:Publisher>DHET</b:Publisher>
    <b:City>Pretoria</b:City>
    <b:RefOrder>2</b:RefOrder>
  </b:Source>
</b:Sources>
</file>

<file path=customXml/itemProps1.xml><?xml version="1.0" encoding="utf-8"?>
<ds:datastoreItem xmlns:ds="http://schemas.openxmlformats.org/officeDocument/2006/customXml" ds:itemID="{19454D48-1E6A-467E-9492-E9862A5D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Mabotja</dc:creator>
  <cp:keywords/>
  <dc:description/>
  <cp:lastModifiedBy>Abigail Madiba</cp:lastModifiedBy>
  <cp:revision>46</cp:revision>
  <dcterms:created xsi:type="dcterms:W3CDTF">2024-10-10T13:12:00Z</dcterms:created>
  <dcterms:modified xsi:type="dcterms:W3CDTF">2024-11-08T08:09:00Z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ba7bd042-acf5-4ee6-955f-8366deacb688</vt:lpwstr>
  </property>
</Properties>
</file>